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66727B1F" w14:textId="220A9131" w:rsidR="000C2029" w:rsidRDefault="00227B01" w:rsidP="0014481B">
            <w:pPr>
              <w:rPr>
                <w:rFonts w:ascii="Arial" w:eastAsia="Arial" w:hAnsi="Arial" w:cs="Arial"/>
                <w:b/>
                <w:sz w:val="20"/>
                <w:szCs w:val="20"/>
              </w:rPr>
            </w:pPr>
            <w:r>
              <w:rPr>
                <w:rFonts w:ascii="Arial" w:eastAsia="Arial" w:hAnsi="Arial" w:cs="Arial"/>
                <w:b/>
                <w:color w:val="000000"/>
                <w:sz w:val="20"/>
                <w:szCs w:val="20"/>
              </w:rPr>
              <w:t xml:space="preserve">Name: </w:t>
            </w:r>
            <w:r w:rsidR="0014481B">
              <w:rPr>
                <w:rFonts w:ascii="Arial" w:eastAsia="Arial" w:hAnsi="Arial" w:cs="Arial"/>
                <w:b/>
                <w:sz w:val="20"/>
                <w:szCs w:val="20"/>
              </w:rPr>
              <w:t>Morghan Cameron</w:t>
            </w:r>
          </w:p>
        </w:tc>
        <w:tc>
          <w:tcPr>
            <w:tcW w:w="2370" w:type="dxa"/>
          </w:tcPr>
          <w:p w14:paraId="50EA330C" w14:textId="0143D337"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14481B">
              <w:rPr>
                <w:rFonts w:ascii="Arial" w:eastAsia="Arial" w:hAnsi="Arial" w:cs="Arial"/>
                <w:b/>
                <w:color w:val="000000"/>
                <w:sz w:val="20"/>
                <w:szCs w:val="20"/>
              </w:rPr>
              <w:t>8</w:t>
            </w:r>
          </w:p>
        </w:tc>
        <w:tc>
          <w:tcPr>
            <w:tcW w:w="2055" w:type="dxa"/>
          </w:tcPr>
          <w:p w14:paraId="43B52495" w14:textId="62184FD4"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14481B">
              <w:rPr>
                <w:rFonts w:ascii="Arial" w:eastAsia="Arial" w:hAnsi="Arial" w:cs="Arial"/>
                <w:b/>
                <w:color w:val="000000"/>
                <w:sz w:val="20"/>
                <w:szCs w:val="20"/>
              </w:rPr>
              <w:t>Civics</w:t>
            </w:r>
          </w:p>
        </w:tc>
        <w:tc>
          <w:tcPr>
            <w:tcW w:w="3795" w:type="dxa"/>
          </w:tcPr>
          <w:p w14:paraId="17493E13" w14:textId="464BA7ED"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14481B">
              <w:rPr>
                <w:rFonts w:ascii="Arial" w:eastAsia="Arial" w:hAnsi="Arial" w:cs="Arial"/>
                <w:b/>
                <w:color w:val="000000"/>
                <w:sz w:val="20"/>
                <w:szCs w:val="20"/>
              </w:rPr>
              <w:t>St. Cloud, Florida</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3F0512DA" w14:textId="0E794492" w:rsidR="000C2029" w:rsidRDefault="00B614EA">
            <w:pPr>
              <w:rPr>
                <w:rFonts w:ascii="Arial" w:eastAsia="Arial" w:hAnsi="Arial" w:cs="Arial"/>
                <w:sz w:val="20"/>
                <w:szCs w:val="20"/>
              </w:rPr>
            </w:pPr>
            <w:r w:rsidRPr="00E46DC4">
              <w:rPr>
                <w:rFonts w:ascii="Arial" w:eastAsia="Arial" w:hAnsi="Arial" w:cs="Arial"/>
                <w:iCs/>
                <w:sz w:val="20"/>
                <w:szCs w:val="20"/>
              </w:rPr>
              <w:t xml:space="preserve">This lesson is part of a unit on </w:t>
            </w:r>
            <w:r w:rsidR="00B73F44">
              <w:rPr>
                <w:rFonts w:ascii="Arial" w:eastAsia="Arial" w:hAnsi="Arial" w:cs="Arial"/>
                <w:iCs/>
                <w:sz w:val="20"/>
                <w:szCs w:val="20"/>
              </w:rPr>
              <w:t xml:space="preserve">Landmark </w:t>
            </w:r>
            <w:r w:rsidRPr="00E46DC4">
              <w:rPr>
                <w:rFonts w:ascii="Arial" w:eastAsia="Arial" w:hAnsi="Arial" w:cs="Arial"/>
                <w:iCs/>
                <w:sz w:val="20"/>
                <w:szCs w:val="20"/>
              </w:rPr>
              <w:t xml:space="preserve">United State Supreme Court Cases, specifically an introduction to Plessy vs Ferguson. Students </w:t>
            </w:r>
            <w:r w:rsidR="00E46DC4">
              <w:rPr>
                <w:rFonts w:ascii="Arial" w:eastAsia="Arial" w:hAnsi="Arial" w:cs="Arial"/>
                <w:iCs/>
                <w:sz w:val="20"/>
                <w:szCs w:val="20"/>
              </w:rPr>
              <w:t>will</w:t>
            </w:r>
            <w:r w:rsidRPr="00E46DC4">
              <w:rPr>
                <w:rFonts w:ascii="Arial" w:eastAsia="Arial" w:hAnsi="Arial" w:cs="Arial"/>
                <w:iCs/>
                <w:sz w:val="20"/>
                <w:szCs w:val="20"/>
              </w:rPr>
              <w:t xml:space="preserve"> analyze the significance and outcomes of </w:t>
            </w:r>
            <w:r w:rsidR="00B73F44">
              <w:rPr>
                <w:rFonts w:ascii="Arial" w:eastAsia="Arial" w:hAnsi="Arial" w:cs="Arial"/>
                <w:iCs/>
                <w:sz w:val="20"/>
                <w:szCs w:val="20"/>
              </w:rPr>
              <w:t>L</w:t>
            </w:r>
            <w:r w:rsidRPr="00E46DC4">
              <w:rPr>
                <w:rFonts w:ascii="Arial" w:eastAsia="Arial" w:hAnsi="Arial" w:cs="Arial"/>
                <w:iCs/>
                <w:sz w:val="20"/>
                <w:szCs w:val="20"/>
              </w:rPr>
              <w:t>andmark Supreme Court cases</w:t>
            </w:r>
            <w:r w:rsidR="00E46DC4">
              <w:rPr>
                <w:rFonts w:ascii="Arial" w:eastAsia="Arial" w:hAnsi="Arial" w:cs="Arial"/>
                <w:iCs/>
                <w:sz w:val="20"/>
                <w:szCs w:val="20"/>
              </w:rPr>
              <w:t>, including Plessy v Ferguson</w:t>
            </w:r>
            <w:r w:rsidRPr="00E46DC4">
              <w:rPr>
                <w:rFonts w:ascii="Arial" w:eastAsia="Arial" w:hAnsi="Arial" w:cs="Arial"/>
                <w:iCs/>
                <w:sz w:val="20"/>
                <w:szCs w:val="20"/>
              </w:rPr>
              <w:t>. Students will complete the QFT at the beginning of their learning of Plessy v Ferguson</w:t>
            </w:r>
            <w:r w:rsidR="00E46DC4">
              <w:rPr>
                <w:rFonts w:ascii="Arial" w:eastAsia="Arial" w:hAnsi="Arial" w:cs="Arial"/>
                <w:iCs/>
                <w:sz w:val="20"/>
                <w:szCs w:val="20"/>
              </w:rPr>
              <w:t xml:space="preserve"> and use their questions to help guide their learning about this Supreme Court case</w:t>
            </w:r>
            <w:r w:rsidRPr="00E46DC4">
              <w:rPr>
                <w:rFonts w:ascii="Arial" w:eastAsia="Arial" w:hAnsi="Arial" w:cs="Arial"/>
                <w:iCs/>
                <w:sz w:val="20"/>
                <w:szCs w:val="20"/>
              </w:rPr>
              <w:t>.</w:t>
            </w:r>
            <w:r w:rsidR="009A3C6C">
              <w:rPr>
                <w:rFonts w:ascii="Arial" w:eastAsia="Arial" w:hAnsi="Arial" w:cs="Arial"/>
                <w:iCs/>
                <w:sz w:val="20"/>
                <w:szCs w:val="20"/>
              </w:rPr>
              <w:t xml:space="preserve"> </w:t>
            </w: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BE65D8" w14:textId="2A76FBA7" w:rsidR="00FB24FF" w:rsidRDefault="000D3E6C" w:rsidP="00FB24FF">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Students will be introduced to the Question Formulat</w:t>
            </w:r>
            <w:r w:rsidR="00B73F44">
              <w:rPr>
                <w:rFonts w:ascii="Arial" w:eastAsia="Arial" w:hAnsi="Arial" w:cs="Arial"/>
                <w:color w:val="000000"/>
                <w:sz w:val="20"/>
                <w:szCs w:val="20"/>
              </w:rPr>
              <w:t>io</w:t>
            </w:r>
            <w:r>
              <w:rPr>
                <w:rFonts w:ascii="Arial" w:eastAsia="Arial" w:hAnsi="Arial" w:cs="Arial"/>
                <w:color w:val="000000"/>
                <w:sz w:val="20"/>
                <w:szCs w:val="20"/>
              </w:rPr>
              <w:t xml:space="preserve">n Technique through the use of a QFocus primary source. Following the explanation of the procedure, students are assigned to small groups and given the necessary materials to complete the process: flip chart paper, marker, and a copy of the QFocus. </w:t>
            </w:r>
            <w:r w:rsidR="00B614EA">
              <w:rPr>
                <w:rFonts w:ascii="Arial" w:eastAsia="Arial" w:hAnsi="Arial" w:cs="Arial"/>
                <w:color w:val="000000"/>
                <w:sz w:val="20"/>
                <w:szCs w:val="20"/>
              </w:rPr>
              <w:t>I will</w:t>
            </w:r>
            <w:r>
              <w:rPr>
                <w:rFonts w:ascii="Arial" w:eastAsia="Arial" w:hAnsi="Arial" w:cs="Arial"/>
                <w:color w:val="000000"/>
                <w:sz w:val="20"/>
                <w:szCs w:val="20"/>
              </w:rPr>
              <w:t xml:space="preserve"> keep the</w:t>
            </w:r>
            <w:r w:rsidR="00B614EA">
              <w:rPr>
                <w:rFonts w:ascii="Arial" w:eastAsia="Arial" w:hAnsi="Arial" w:cs="Arial"/>
                <w:color w:val="000000"/>
                <w:sz w:val="20"/>
                <w:szCs w:val="20"/>
              </w:rPr>
              <w:t xml:space="preserve"> QFT guidelines</w:t>
            </w:r>
            <w:r>
              <w:rPr>
                <w:rFonts w:ascii="Arial" w:eastAsia="Arial" w:hAnsi="Arial" w:cs="Arial"/>
                <w:color w:val="000000"/>
                <w:sz w:val="20"/>
                <w:szCs w:val="20"/>
              </w:rPr>
              <w:t xml:space="preserve"> displayed</w:t>
            </w:r>
            <w:r w:rsidR="00B614EA">
              <w:rPr>
                <w:rFonts w:ascii="Arial" w:eastAsia="Arial" w:hAnsi="Arial" w:cs="Arial"/>
                <w:color w:val="000000"/>
                <w:sz w:val="20"/>
                <w:szCs w:val="20"/>
              </w:rPr>
              <w:t xml:space="preserve"> and review the procedures with the class</w:t>
            </w:r>
            <w:r>
              <w:rPr>
                <w:rFonts w:ascii="Arial" w:eastAsia="Arial" w:hAnsi="Arial" w:cs="Arial"/>
                <w:color w:val="000000"/>
                <w:sz w:val="20"/>
                <w:szCs w:val="20"/>
              </w:rPr>
              <w:t xml:space="preserve"> prior to the start</w:t>
            </w:r>
            <w:r w:rsidR="00B73F44">
              <w:rPr>
                <w:rFonts w:ascii="Arial" w:eastAsia="Arial" w:hAnsi="Arial" w:cs="Arial"/>
                <w:color w:val="000000"/>
                <w:sz w:val="20"/>
                <w:szCs w:val="20"/>
              </w:rPr>
              <w:t xml:space="preserve"> of each segment</w:t>
            </w:r>
            <w:r w:rsidR="00B614EA">
              <w:rPr>
                <w:rFonts w:ascii="Arial" w:eastAsia="Arial" w:hAnsi="Arial" w:cs="Arial"/>
                <w:color w:val="000000"/>
                <w:sz w:val="20"/>
                <w:szCs w:val="20"/>
              </w:rPr>
              <w:t>.</w:t>
            </w:r>
          </w:p>
          <w:p w14:paraId="0E9345A8" w14:textId="1BE769F3" w:rsidR="000C2029" w:rsidRPr="00FB24FF" w:rsidRDefault="00B614EA" w:rsidP="00FB24FF">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sidRPr="00FB24FF">
              <w:rPr>
                <w:rFonts w:ascii="Arial" w:eastAsia="Arial" w:hAnsi="Arial" w:cs="Arial"/>
                <w:sz w:val="20"/>
                <w:szCs w:val="20"/>
              </w:rPr>
              <w:t xml:space="preserve">Students will complete </w:t>
            </w:r>
            <w:r w:rsidR="000D3E6C">
              <w:rPr>
                <w:rFonts w:ascii="Arial" w:eastAsia="Arial" w:hAnsi="Arial" w:cs="Arial"/>
                <w:sz w:val="20"/>
                <w:szCs w:val="20"/>
              </w:rPr>
              <w:t xml:space="preserve">the </w:t>
            </w:r>
            <w:r w:rsidRPr="00FB24FF">
              <w:rPr>
                <w:rFonts w:ascii="Arial" w:eastAsia="Arial" w:hAnsi="Arial" w:cs="Arial"/>
                <w:sz w:val="20"/>
                <w:szCs w:val="20"/>
              </w:rPr>
              <w:t xml:space="preserve">QFT in </w:t>
            </w:r>
            <w:r w:rsidR="000D3E6C">
              <w:rPr>
                <w:rFonts w:ascii="Arial" w:eastAsia="Arial" w:hAnsi="Arial" w:cs="Arial"/>
                <w:sz w:val="20"/>
                <w:szCs w:val="20"/>
              </w:rPr>
              <w:t xml:space="preserve">their assigned </w:t>
            </w:r>
            <w:r w:rsidRPr="00FB24FF">
              <w:rPr>
                <w:rFonts w:ascii="Arial" w:eastAsia="Arial" w:hAnsi="Arial" w:cs="Arial"/>
                <w:sz w:val="20"/>
                <w:szCs w:val="20"/>
              </w:rPr>
              <w:t>small groups.</w:t>
            </w:r>
            <w:r w:rsidR="000D3E6C">
              <w:rPr>
                <w:rFonts w:ascii="Arial" w:eastAsia="Arial" w:hAnsi="Arial" w:cs="Arial"/>
                <w:sz w:val="20"/>
                <w:szCs w:val="20"/>
              </w:rPr>
              <w:t xml:space="preserve"> Students will generate their questions and label them as closed questions or open questions. Students will take 2 closed questions and rewrite them as open, and 2 open questions and rewrite them as closed.</w:t>
            </w:r>
          </w:p>
          <w:p w14:paraId="4050F1D0" w14:textId="38F2D867" w:rsidR="00B614EA" w:rsidRDefault="00B614EA" w:rsidP="00B614EA">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w:t>
            </w:r>
            <w:r w:rsidR="000D3E6C">
              <w:rPr>
                <w:rFonts w:ascii="Arial" w:eastAsia="Arial" w:hAnsi="Arial" w:cs="Arial"/>
                <w:sz w:val="20"/>
                <w:szCs w:val="20"/>
              </w:rPr>
              <w:t>prioritize their questions</w:t>
            </w:r>
            <w:r w:rsidR="00B73F44">
              <w:rPr>
                <w:rFonts w:ascii="Arial" w:eastAsia="Arial" w:hAnsi="Arial" w:cs="Arial"/>
                <w:sz w:val="20"/>
                <w:szCs w:val="20"/>
              </w:rPr>
              <w:t xml:space="preserve">. Then, they will </w:t>
            </w:r>
            <w:r>
              <w:rPr>
                <w:rFonts w:ascii="Arial" w:eastAsia="Arial" w:hAnsi="Arial" w:cs="Arial"/>
                <w:sz w:val="20"/>
                <w:szCs w:val="20"/>
              </w:rPr>
              <w:t xml:space="preserve">write the three </w:t>
            </w:r>
            <w:r w:rsidR="00B73F44">
              <w:rPr>
                <w:rFonts w:ascii="Arial" w:eastAsia="Arial" w:hAnsi="Arial" w:cs="Arial"/>
                <w:sz w:val="20"/>
                <w:szCs w:val="20"/>
              </w:rPr>
              <w:t>questions they are most interested in on a sticky note. The students will work collectively as a class to categorize the sticky notes into topics. The sticky notes will be displayed in their liked pairings around the room. Students will complete a gallery walk of the questions and then select the grouping that most interests them.</w:t>
            </w:r>
          </w:p>
          <w:p w14:paraId="03F16835" w14:textId="7A0A0D13" w:rsidR="00B614EA" w:rsidRDefault="00B614EA" w:rsidP="00B614EA">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w:t>
            </w:r>
            <w:r w:rsidR="00B73F44">
              <w:rPr>
                <w:rFonts w:ascii="Arial" w:eastAsia="Arial" w:hAnsi="Arial" w:cs="Arial"/>
                <w:sz w:val="20"/>
                <w:szCs w:val="20"/>
              </w:rPr>
              <w:t>research the questions in their new subgroup, utilizing the Library of Congress. Students will create a 1-pager, answering the student questions in their subgroup. All 1-pagers will be displayed around the room for students to complete a gallery walk on the landmark US Supreme Court Case.</w:t>
            </w:r>
          </w:p>
          <w:p w14:paraId="3B2F5A29" w14:textId="2D24FAB7" w:rsidR="00B614EA" w:rsidRPr="00B614EA" w:rsidRDefault="00B614EA" w:rsidP="00B614EA">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Students will reflect on their learning through the QFT process.</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77777777" w:rsidR="000C2029" w:rsidRDefault="000C2029" w:rsidP="009A3C6C">
            <w:pPr>
              <w:ind w:left="720"/>
              <w:rPr>
                <w:rFonts w:ascii="Arial" w:eastAsia="Arial" w:hAnsi="Arial" w:cs="Arial"/>
                <w:b/>
                <w:sz w:val="20"/>
                <w:szCs w:val="20"/>
              </w:rPr>
            </w:pPr>
          </w:p>
          <w:p w14:paraId="29AA90DC" w14:textId="6418F133" w:rsidR="000C2029" w:rsidRDefault="009A3C6C">
            <w:pPr>
              <w:rPr>
                <w:rFonts w:ascii="Arial" w:eastAsia="Arial" w:hAnsi="Arial" w:cs="Arial"/>
                <w:b/>
                <w:sz w:val="20"/>
                <w:szCs w:val="20"/>
              </w:rPr>
            </w:pPr>
            <w:r>
              <w:rPr>
                <w:rFonts w:ascii="Arial" w:eastAsia="Arial" w:hAnsi="Arial" w:cs="Arial"/>
                <w:b/>
                <w:sz w:val="20"/>
                <w:szCs w:val="20"/>
              </w:rPr>
              <w:t>Upon completion, students will be presented with a new image (Brown v Board of Education)</w:t>
            </w:r>
            <w:r w:rsidR="00AB79ED">
              <w:rPr>
                <w:rFonts w:ascii="Arial" w:eastAsia="Arial" w:hAnsi="Arial" w:cs="Arial"/>
                <w:b/>
                <w:sz w:val="20"/>
                <w:szCs w:val="20"/>
              </w:rPr>
              <w:t xml:space="preserve"> and</w:t>
            </w:r>
            <w:r>
              <w:rPr>
                <w:rFonts w:ascii="Arial" w:eastAsia="Arial" w:hAnsi="Arial" w:cs="Arial"/>
                <w:b/>
                <w:sz w:val="20"/>
                <w:szCs w:val="20"/>
              </w:rPr>
              <w:t xml:space="preserve"> asked to complete a </w:t>
            </w:r>
            <w:r w:rsidR="00AB79ED">
              <w:rPr>
                <w:rFonts w:ascii="Arial" w:eastAsia="Arial" w:hAnsi="Arial" w:cs="Arial"/>
                <w:b/>
                <w:sz w:val="20"/>
                <w:szCs w:val="20"/>
              </w:rPr>
              <w:t xml:space="preserve">second </w:t>
            </w:r>
            <w:r>
              <w:rPr>
                <w:rFonts w:ascii="Arial" w:eastAsia="Arial" w:hAnsi="Arial" w:cs="Arial"/>
                <w:b/>
                <w:sz w:val="20"/>
                <w:szCs w:val="20"/>
              </w:rPr>
              <w:t>QFT</w:t>
            </w:r>
            <w:r w:rsidR="00AB79ED">
              <w:rPr>
                <w:rFonts w:ascii="Arial" w:eastAsia="Arial" w:hAnsi="Arial" w:cs="Arial"/>
                <w:b/>
                <w:sz w:val="20"/>
                <w:szCs w:val="20"/>
              </w:rPr>
              <w:t>. Students will re</w:t>
            </w:r>
            <w:r>
              <w:rPr>
                <w:rFonts w:ascii="Arial" w:eastAsia="Arial" w:hAnsi="Arial" w:cs="Arial"/>
                <w:b/>
                <w:sz w:val="20"/>
                <w:szCs w:val="20"/>
              </w:rPr>
              <w:t>peat the process of working with a group on a subtopic based off their questions that most interests them, create a new 1-pager, and display them around the room. The second 1-pager will be displayed close to the correlated topics from Plessy v Ferguson and the students will completed a second gallery walk. Students will then be asked to compare/contrast the two court cases based on their questions and their own findings.</w:t>
            </w: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6350EF75"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lastRenderedPageBreak/>
              <w:t xml:space="preserve">Question Focus: </w:t>
            </w:r>
            <w:r w:rsidR="00FB24FF" w:rsidRPr="00FB24FF">
              <w:rPr>
                <w:rFonts w:ascii="Arial" w:eastAsia="Arial" w:hAnsi="Arial" w:cs="Arial"/>
                <w:bCs/>
                <w:sz w:val="20"/>
                <w:szCs w:val="20"/>
              </w:rPr>
              <w:t>Students will examine the photo below:</w:t>
            </w:r>
          </w:p>
          <w:p w14:paraId="36B000C2" w14:textId="6F4A1C85" w:rsidR="000C2029" w:rsidRDefault="00FB24FF">
            <w:pPr>
              <w:pBdr>
                <w:top w:val="nil"/>
                <w:left w:val="nil"/>
                <w:bottom w:val="nil"/>
                <w:right w:val="nil"/>
                <w:between w:val="nil"/>
              </w:pBdr>
              <w:rPr>
                <w:rFonts w:ascii="Arial" w:eastAsia="Arial" w:hAnsi="Arial" w:cs="Arial"/>
                <w:i/>
                <w:sz w:val="20"/>
                <w:szCs w:val="20"/>
              </w:rPr>
            </w:pPr>
            <w:r>
              <w:rPr>
                <w:noProof/>
              </w:rPr>
              <w:drawing>
                <wp:inline distT="0" distB="0" distL="0" distR="0" wp14:anchorId="0022EAE3" wp14:editId="16E9782F">
                  <wp:extent cx="3124863" cy="226414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36498" cy="2272579"/>
                          </a:xfrm>
                          <a:prstGeom prst="rect">
                            <a:avLst/>
                          </a:prstGeom>
                          <a:noFill/>
                          <a:ln>
                            <a:noFill/>
                          </a:ln>
                        </pic:spPr>
                      </pic:pic>
                    </a:graphicData>
                  </a:graphic>
                </wp:inline>
              </w:drawing>
            </w: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1240F477" w14:textId="7F8ABDF4" w:rsidR="000C2029" w:rsidRDefault="0003522E">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hyperlink r:id="rId10" w:history="1">
              <w:r w:rsidR="00FB24FF">
                <w:rPr>
                  <w:rStyle w:val="Hyperlink"/>
                </w:rPr>
                <w:t>For the sunny South. An airship with a "Jim Crow" traile</w:t>
              </w:r>
              <w:r w:rsidR="00FB24FF">
                <w:rPr>
                  <w:rStyle w:val="Hyperlink"/>
                </w:rPr>
                <w:t>r</w:t>
              </w:r>
              <w:r w:rsidR="00FB24FF">
                <w:rPr>
                  <w:rStyle w:val="Hyperlink"/>
                </w:rPr>
                <w:t xml:space="preserve"> - color film copy slide | Library of Congress (loc.gov)</w:t>
              </w:r>
            </w:hyperlink>
          </w:p>
          <w:p w14:paraId="76F58952" w14:textId="77777777" w:rsidR="001D657C" w:rsidRDefault="001D657C">
            <w:pPr>
              <w:pBdr>
                <w:top w:val="nil"/>
                <w:left w:val="nil"/>
                <w:bottom w:val="nil"/>
                <w:right w:val="nil"/>
                <w:between w:val="nil"/>
              </w:pBdr>
              <w:rPr>
                <w:rFonts w:ascii="Arial" w:eastAsia="Arial" w:hAnsi="Arial" w:cs="Arial"/>
                <w:sz w:val="20"/>
                <w:szCs w:val="20"/>
              </w:rPr>
            </w:pPr>
          </w:p>
          <w:p w14:paraId="196D04F9" w14:textId="4704DEAE" w:rsidR="001D657C" w:rsidRPr="001D657C"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r w:rsidR="00FB24FF">
              <w:rPr>
                <w:rFonts w:ascii="Open Sans" w:hAnsi="Open Sans" w:cs="Open Sans"/>
                <w:color w:val="242424"/>
                <w:sz w:val="21"/>
                <w:szCs w:val="21"/>
                <w:shd w:val="clear" w:color="auto" w:fill="F6F6F6"/>
              </w:rPr>
              <w:t xml:space="preserve"> </w:t>
            </w:r>
            <w:r w:rsidR="00FB24FF">
              <w:rPr>
                <w:rFonts w:ascii="Open Sans" w:hAnsi="Open Sans" w:cs="Open Sans"/>
                <w:color w:val="242424"/>
                <w:sz w:val="21"/>
                <w:szCs w:val="21"/>
                <w:shd w:val="clear" w:color="auto" w:fill="F6F6F6"/>
              </w:rPr>
              <w:t>(1913) </w:t>
            </w:r>
            <w:r w:rsidR="00FB24FF">
              <w:rPr>
                <w:rStyle w:val="HTMLCite"/>
                <w:rFonts w:ascii="Open Sans" w:hAnsi="Open Sans" w:cs="Open Sans"/>
                <w:color w:val="242424"/>
                <w:sz w:val="21"/>
                <w:szCs w:val="21"/>
                <w:shd w:val="clear" w:color="auto" w:fill="F6F6F6"/>
              </w:rPr>
              <w:t>For the sunny South. An airship with a "Jim Crow" trailer</w:t>
            </w:r>
            <w:r w:rsidR="00FB24FF">
              <w:rPr>
                <w:rFonts w:ascii="Open Sans" w:hAnsi="Open Sans" w:cs="Open Sans"/>
                <w:color w:val="242424"/>
                <w:sz w:val="21"/>
                <w:szCs w:val="21"/>
                <w:shd w:val="clear" w:color="auto" w:fill="F6F6F6"/>
              </w:rPr>
              <w:t>. United States, 1913. [Photograph] Retrieved from the Library of Congress, https://www.loc.gov/item/2002720354/.</w:t>
            </w:r>
          </w:p>
          <w:p w14:paraId="60EF2450" w14:textId="01B2A113" w:rsidR="00A134CD" w:rsidRDefault="00A134CD" w:rsidP="00B73F44">
            <w:pPr>
              <w:pBdr>
                <w:top w:val="nil"/>
                <w:left w:val="nil"/>
                <w:bottom w:val="nil"/>
                <w:right w:val="nil"/>
                <w:between w:val="nil"/>
              </w:pBdr>
              <w:rPr>
                <w:rFonts w:ascii="Arial" w:eastAsia="Arial" w:hAnsi="Arial" w:cs="Arial"/>
                <w:sz w:val="20"/>
                <w:szCs w:val="20"/>
              </w:rPr>
            </w:pPr>
          </w:p>
        </w:tc>
        <w:tc>
          <w:tcPr>
            <w:tcW w:w="5850" w:type="dxa"/>
            <w:gridSpan w:val="2"/>
          </w:tcPr>
          <w:p w14:paraId="337F34DB" w14:textId="77777777" w:rsidR="000C2029" w:rsidRDefault="00227B01">
            <w:pPr>
              <w:rPr>
                <w:rFonts w:ascii="Arial" w:eastAsia="Arial" w:hAnsi="Arial" w:cs="Arial"/>
                <w:i/>
                <w:sz w:val="20"/>
                <w:szCs w:val="20"/>
              </w:rPr>
            </w:pPr>
            <w:r>
              <w:rPr>
                <w:rFonts w:ascii="Arial" w:eastAsia="Arial" w:hAnsi="Arial" w:cs="Arial"/>
                <w:b/>
                <w:sz w:val="20"/>
                <w:szCs w:val="20"/>
              </w:rPr>
              <w:t xml:space="preserve">Reflect on your QFocus: </w:t>
            </w:r>
            <w:r>
              <w:rPr>
                <w:rFonts w:ascii="Arial" w:eastAsia="Arial" w:hAnsi="Arial" w:cs="Arial"/>
                <w:i/>
                <w:sz w:val="20"/>
                <w:szCs w:val="20"/>
              </w:rPr>
              <w:t>You might consider why you chose this image, alternative QFocus options, earlier QFocus drafts or process you went through to develop it, etc.</w:t>
            </w:r>
          </w:p>
          <w:p w14:paraId="63622FDE" w14:textId="77777777" w:rsidR="00FB24FF" w:rsidRDefault="00FB24FF">
            <w:pPr>
              <w:rPr>
                <w:rFonts w:ascii="Arial" w:eastAsia="Arial" w:hAnsi="Arial" w:cs="Arial"/>
                <w:i/>
                <w:sz w:val="20"/>
                <w:szCs w:val="20"/>
              </w:rPr>
            </w:pPr>
          </w:p>
          <w:p w14:paraId="5150FBE9" w14:textId="7830D21E" w:rsidR="00FB24FF" w:rsidRDefault="00FB24FF">
            <w:pPr>
              <w:rPr>
                <w:rFonts w:ascii="Arial" w:eastAsia="Arial" w:hAnsi="Arial" w:cs="Arial"/>
                <w:i/>
                <w:color w:val="000000"/>
                <w:sz w:val="20"/>
                <w:szCs w:val="20"/>
              </w:rPr>
            </w:pPr>
            <w:r>
              <w:rPr>
                <w:rFonts w:ascii="Arial" w:eastAsia="Arial" w:hAnsi="Arial" w:cs="Arial"/>
                <w:i/>
                <w:sz w:val="20"/>
                <w:szCs w:val="20"/>
              </w:rPr>
              <w:t>I want to focus on this image to introduce Plessy v Ferguson because this image portrays the significance</w:t>
            </w:r>
            <w:r w:rsidR="00FF241D">
              <w:rPr>
                <w:rFonts w:ascii="Arial" w:eastAsia="Arial" w:hAnsi="Arial" w:cs="Arial"/>
                <w:i/>
                <w:sz w:val="20"/>
                <w:szCs w:val="20"/>
              </w:rPr>
              <w:t>/impact</w:t>
            </w:r>
            <w:r>
              <w:rPr>
                <w:rFonts w:ascii="Arial" w:eastAsia="Arial" w:hAnsi="Arial" w:cs="Arial"/>
                <w:i/>
                <w:sz w:val="20"/>
                <w:szCs w:val="20"/>
              </w:rPr>
              <w:t xml:space="preserve"> of the case, the concept of “separate but equal</w:t>
            </w:r>
            <w:r w:rsidR="009A3C6C">
              <w:rPr>
                <w:rFonts w:ascii="Arial" w:eastAsia="Arial" w:hAnsi="Arial" w:cs="Arial"/>
                <w:i/>
                <w:sz w:val="20"/>
                <w:szCs w:val="20"/>
              </w:rPr>
              <w:t>,</w:t>
            </w:r>
            <w:r>
              <w:rPr>
                <w:rFonts w:ascii="Arial" w:eastAsia="Arial" w:hAnsi="Arial" w:cs="Arial"/>
                <w:i/>
                <w:sz w:val="20"/>
                <w:szCs w:val="20"/>
              </w:rPr>
              <w:t xml:space="preserve">” </w:t>
            </w:r>
            <w:r w:rsidR="009A3C6C">
              <w:rPr>
                <w:rFonts w:ascii="Arial" w:eastAsia="Arial" w:hAnsi="Arial" w:cs="Arial"/>
                <w:i/>
                <w:sz w:val="20"/>
                <w:szCs w:val="20"/>
              </w:rPr>
              <w:t>without giving</w:t>
            </w:r>
            <w:r w:rsidR="00625379">
              <w:rPr>
                <w:rFonts w:ascii="Arial" w:eastAsia="Arial" w:hAnsi="Arial" w:cs="Arial"/>
                <w:i/>
                <w:sz w:val="20"/>
                <w:szCs w:val="20"/>
              </w:rPr>
              <w:t xml:space="preserve"> specific</w:t>
            </w:r>
            <w:r w:rsidR="009A3C6C">
              <w:rPr>
                <w:rFonts w:ascii="Arial" w:eastAsia="Arial" w:hAnsi="Arial" w:cs="Arial"/>
                <w:i/>
                <w:sz w:val="20"/>
                <w:szCs w:val="20"/>
              </w:rPr>
              <w:t xml:space="preserve"> details of the case away. </w:t>
            </w:r>
            <w:r>
              <w:rPr>
                <w:rFonts w:ascii="Arial" w:eastAsia="Arial" w:hAnsi="Arial" w:cs="Arial"/>
                <w:i/>
                <w:sz w:val="20"/>
                <w:szCs w:val="20"/>
              </w:rPr>
              <w:t xml:space="preserve">Through this image, students will be able to </w:t>
            </w:r>
            <w:r w:rsidR="00FF241D">
              <w:rPr>
                <w:rFonts w:ascii="Arial" w:eastAsia="Arial" w:hAnsi="Arial" w:cs="Arial"/>
                <w:i/>
                <w:sz w:val="20"/>
                <w:szCs w:val="20"/>
              </w:rPr>
              <w:t>question many items that correlate to the Plessy case.</w:t>
            </w:r>
            <w:r w:rsidR="009A3C6C">
              <w:rPr>
                <w:rFonts w:ascii="Arial" w:eastAsia="Arial" w:hAnsi="Arial" w:cs="Arial"/>
                <w:i/>
                <w:sz w:val="20"/>
                <w:szCs w:val="20"/>
              </w:rPr>
              <w:t xml:space="preserve"> I want the students to question the concept prior to </w:t>
            </w:r>
            <w:r w:rsidR="00754306">
              <w:rPr>
                <w:rFonts w:ascii="Arial" w:eastAsia="Arial" w:hAnsi="Arial" w:cs="Arial"/>
                <w:i/>
                <w:sz w:val="20"/>
                <w:szCs w:val="20"/>
              </w:rPr>
              <w:t>completing additional research</w:t>
            </w:r>
            <w:r w:rsidR="00625379">
              <w:rPr>
                <w:rFonts w:ascii="Arial" w:eastAsia="Arial" w:hAnsi="Arial" w:cs="Arial"/>
                <w:i/>
                <w:sz w:val="20"/>
                <w:szCs w:val="20"/>
              </w:rPr>
              <w:t>,</w:t>
            </w:r>
            <w:r w:rsidR="00754306">
              <w:rPr>
                <w:rFonts w:ascii="Arial" w:eastAsia="Arial" w:hAnsi="Arial" w:cs="Arial"/>
                <w:i/>
                <w:sz w:val="20"/>
                <w:szCs w:val="20"/>
              </w:rPr>
              <w:t xml:space="preserve"> </w:t>
            </w:r>
            <w:r w:rsidR="009A3C6C">
              <w:rPr>
                <w:rFonts w:ascii="Arial" w:eastAsia="Arial" w:hAnsi="Arial" w:cs="Arial"/>
                <w:i/>
                <w:sz w:val="20"/>
                <w:szCs w:val="20"/>
              </w:rPr>
              <w:t>reading the case</w:t>
            </w:r>
            <w:r w:rsidR="00625379">
              <w:rPr>
                <w:rFonts w:ascii="Arial" w:eastAsia="Arial" w:hAnsi="Arial" w:cs="Arial"/>
                <w:i/>
                <w:sz w:val="20"/>
                <w:szCs w:val="20"/>
              </w:rPr>
              <w:t>,</w:t>
            </w:r>
            <w:r w:rsidR="009A3C6C">
              <w:rPr>
                <w:rFonts w:ascii="Arial" w:eastAsia="Arial" w:hAnsi="Arial" w:cs="Arial"/>
                <w:i/>
                <w:sz w:val="20"/>
                <w:szCs w:val="20"/>
              </w:rPr>
              <w:t xml:space="preserve"> and performing another QFT on a document or another political cartoon</w:t>
            </w:r>
            <w:r w:rsidR="00625379">
              <w:rPr>
                <w:rFonts w:ascii="Arial" w:eastAsia="Arial" w:hAnsi="Arial" w:cs="Arial"/>
                <w:i/>
                <w:sz w:val="20"/>
                <w:szCs w:val="20"/>
              </w:rPr>
              <w:t xml:space="preserve"> for the Brown v Board of Education of Topeka, Kansas landmark US Supreme Court Case</w:t>
            </w:r>
            <w:r w:rsidR="009A3C6C">
              <w:rPr>
                <w:rFonts w:ascii="Arial" w:eastAsia="Arial" w:hAnsi="Arial" w:cs="Arial"/>
                <w:i/>
                <w:sz w:val="20"/>
                <w:szCs w:val="20"/>
              </w:rPr>
              <w:t>.</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283EF886"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r w:rsidR="00FF241D" w:rsidRPr="00E71532">
              <w:rPr>
                <w:rFonts w:ascii="Arial" w:eastAsia="Arial" w:hAnsi="Arial" w:cs="Arial"/>
                <w:bCs/>
                <w:sz w:val="20"/>
                <w:szCs w:val="20"/>
              </w:rPr>
              <w:t xml:space="preserve">Students will </w:t>
            </w:r>
            <w:r w:rsidR="00E71532">
              <w:rPr>
                <w:rFonts w:ascii="Arial" w:eastAsia="Arial" w:hAnsi="Arial" w:cs="Arial"/>
                <w:bCs/>
                <w:sz w:val="20"/>
                <w:szCs w:val="20"/>
              </w:rPr>
              <w:t xml:space="preserve">be presented with one portion of the image at a time. First, they’ll see the top left corner of the image of the people sitting on the plane and create questions. Second, students will see the top right corner of the image of the “trailer” and create questions. Third, students will be shown the full image (including the caption) and create questions. Students will then </w:t>
            </w:r>
            <w:r w:rsidR="00FF241D" w:rsidRPr="00E71532">
              <w:rPr>
                <w:rFonts w:ascii="Arial" w:eastAsia="Arial" w:hAnsi="Arial" w:cs="Arial"/>
                <w:bCs/>
                <w:sz w:val="20"/>
                <w:szCs w:val="20"/>
              </w:rPr>
              <w:t xml:space="preserve">categorize </w:t>
            </w:r>
            <w:r w:rsidR="00E71532">
              <w:rPr>
                <w:rFonts w:ascii="Arial" w:eastAsia="Arial" w:hAnsi="Arial" w:cs="Arial"/>
                <w:bCs/>
                <w:sz w:val="20"/>
                <w:szCs w:val="20"/>
              </w:rPr>
              <w:t xml:space="preserve">their </w:t>
            </w:r>
            <w:r w:rsidR="00FF241D" w:rsidRPr="00E71532">
              <w:rPr>
                <w:rFonts w:ascii="Arial" w:eastAsia="Arial" w:hAnsi="Arial" w:cs="Arial"/>
                <w:bCs/>
                <w:sz w:val="20"/>
                <w:szCs w:val="20"/>
              </w:rPr>
              <w:t>questions into Open Questions or Closed Questions.</w:t>
            </w:r>
          </w:p>
          <w:p w14:paraId="6AE5FF1F" w14:textId="10C69FA1"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FF241D" w:rsidRPr="00E71532">
              <w:rPr>
                <w:rFonts w:ascii="Arial" w:eastAsia="Arial" w:hAnsi="Arial" w:cs="Arial"/>
                <w:bCs/>
                <w:sz w:val="20"/>
                <w:szCs w:val="20"/>
              </w:rPr>
              <w:t>Students will be asked to choose the 3 questions they are most curious about.</w:t>
            </w:r>
          </w:p>
          <w:p w14:paraId="0B45814D" w14:textId="65788543" w:rsidR="000C2029" w:rsidRPr="00754306" w:rsidRDefault="00227B01" w:rsidP="00754306">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9E5BB5">
              <w:rPr>
                <w:rFonts w:ascii="Arial" w:eastAsia="Arial" w:hAnsi="Arial" w:cs="Arial"/>
                <w:b/>
                <w:sz w:val="20"/>
                <w:szCs w:val="20"/>
              </w:rPr>
              <w:br/>
              <w:t xml:space="preserve">Process Questions: </w:t>
            </w:r>
            <w:r w:rsidR="009E5BB5" w:rsidRPr="00E71532">
              <w:rPr>
                <w:rFonts w:ascii="Arial" w:eastAsia="Arial" w:hAnsi="Arial" w:cs="Arial"/>
                <w:bCs/>
                <w:sz w:val="20"/>
                <w:szCs w:val="20"/>
              </w:rPr>
              <w:t>What do you understand differently now about asking questions? What did you learn from someone else’s question?</w:t>
            </w:r>
            <w:r w:rsidR="009E5BB5">
              <w:rPr>
                <w:rFonts w:ascii="Arial" w:eastAsia="Arial" w:hAnsi="Arial" w:cs="Arial"/>
                <w:b/>
                <w:sz w:val="20"/>
                <w:szCs w:val="20"/>
              </w:rPr>
              <w:br/>
              <w:t xml:space="preserve">Content Reflection Questions: </w:t>
            </w:r>
            <w:r w:rsidR="009E5BB5" w:rsidRPr="00E71532">
              <w:rPr>
                <w:rFonts w:ascii="Arial" w:eastAsia="Arial" w:hAnsi="Arial" w:cs="Arial"/>
                <w:bCs/>
                <w:sz w:val="20"/>
                <w:szCs w:val="20"/>
              </w:rPr>
              <w:t>How did the QFT help you think about the topic it introduced? What’s a new question you’re taking away from today?</w:t>
            </w:r>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1"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2"/>
      <w:footerReference w:type="default" r:id="rId13"/>
      <w:head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D96E1" w14:textId="77777777" w:rsidR="00445EB7" w:rsidRDefault="00445EB7">
      <w:pPr>
        <w:spacing w:after="0" w:line="240" w:lineRule="auto"/>
      </w:pPr>
      <w:r>
        <w:separator/>
      </w:r>
    </w:p>
  </w:endnote>
  <w:endnote w:type="continuationSeparator" w:id="0">
    <w:p w14:paraId="61793578" w14:textId="77777777" w:rsidR="00445EB7" w:rsidRDefault="00445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Montserrat">
    <w:altName w:val="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4207D" w14:textId="77777777" w:rsidR="00445EB7" w:rsidRDefault="00445EB7">
      <w:pPr>
        <w:spacing w:after="0" w:line="240" w:lineRule="auto"/>
      </w:pPr>
      <w:r>
        <w:separator/>
      </w:r>
    </w:p>
  </w:footnote>
  <w:footnote w:type="continuationSeparator" w:id="0">
    <w:p w14:paraId="554C1F0F" w14:textId="77777777" w:rsidR="00445EB7" w:rsidRDefault="00445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0281E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2"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44480"/>
    <w:rsid w:val="000A4E45"/>
    <w:rsid w:val="000C2029"/>
    <w:rsid w:val="000D1ED6"/>
    <w:rsid w:val="000D3E6C"/>
    <w:rsid w:val="0010370B"/>
    <w:rsid w:val="0014481B"/>
    <w:rsid w:val="001C451A"/>
    <w:rsid w:val="001D657C"/>
    <w:rsid w:val="001F6381"/>
    <w:rsid w:val="00227B01"/>
    <w:rsid w:val="002549B0"/>
    <w:rsid w:val="0028445E"/>
    <w:rsid w:val="002E55D7"/>
    <w:rsid w:val="00445EB7"/>
    <w:rsid w:val="004E6DDB"/>
    <w:rsid w:val="00506722"/>
    <w:rsid w:val="005B0292"/>
    <w:rsid w:val="005C02A9"/>
    <w:rsid w:val="005C68D1"/>
    <w:rsid w:val="005F3A28"/>
    <w:rsid w:val="006103D4"/>
    <w:rsid w:val="00625379"/>
    <w:rsid w:val="00672557"/>
    <w:rsid w:val="006A3191"/>
    <w:rsid w:val="006A5025"/>
    <w:rsid w:val="006D443B"/>
    <w:rsid w:val="006E167E"/>
    <w:rsid w:val="00754306"/>
    <w:rsid w:val="00754BC8"/>
    <w:rsid w:val="0075552B"/>
    <w:rsid w:val="0084395F"/>
    <w:rsid w:val="008C59F7"/>
    <w:rsid w:val="008D3C4A"/>
    <w:rsid w:val="008D4875"/>
    <w:rsid w:val="00947624"/>
    <w:rsid w:val="009A3C6C"/>
    <w:rsid w:val="009E5BB5"/>
    <w:rsid w:val="00A134CD"/>
    <w:rsid w:val="00AA6434"/>
    <w:rsid w:val="00AB3795"/>
    <w:rsid w:val="00AB79ED"/>
    <w:rsid w:val="00AC6D50"/>
    <w:rsid w:val="00B13352"/>
    <w:rsid w:val="00B614EA"/>
    <w:rsid w:val="00B67E6D"/>
    <w:rsid w:val="00B73F44"/>
    <w:rsid w:val="00C01D1C"/>
    <w:rsid w:val="00C717D0"/>
    <w:rsid w:val="00D60ABB"/>
    <w:rsid w:val="00E46DC4"/>
    <w:rsid w:val="00E71532"/>
    <w:rsid w:val="00E93878"/>
    <w:rsid w:val="00F92FD0"/>
    <w:rsid w:val="00FB24FF"/>
    <w:rsid w:val="00FF2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HTMLCite">
    <w:name w:val="HTML Cite"/>
    <w:basedOn w:val="DefaultParagraphFont"/>
    <w:uiPriority w:val="99"/>
    <w:semiHidden/>
    <w:unhideWhenUsed/>
    <w:rsid w:val="00FB24FF"/>
    <w:rPr>
      <w:i/>
      <w:iCs/>
    </w:rPr>
  </w:style>
  <w:style w:type="paragraph" w:styleId="ListBullet">
    <w:name w:val="List Bullet"/>
    <w:basedOn w:val="Normal"/>
    <w:uiPriority w:val="99"/>
    <w:unhideWhenUsed/>
    <w:rsid w:val="00A134CD"/>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psteachersnetwork.org/the-question-formulation-technique-qft-for-primary-source-learning/rec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loc.gov/resource/cph.3b48958/"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3</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Morghan Cameron</cp:lastModifiedBy>
  <cp:revision>25</cp:revision>
  <cp:lastPrinted>2022-11-21T14:01:00Z</cp:lastPrinted>
  <dcterms:created xsi:type="dcterms:W3CDTF">2022-11-20T18:25:00Z</dcterms:created>
  <dcterms:modified xsi:type="dcterms:W3CDTF">2022-11-21T14:10:00Z</dcterms:modified>
</cp:coreProperties>
</file>